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53D" w:rsidRDefault="002B153D" w:rsidP="002B153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Lab 3 Consider This: Your Turn</w:t>
      </w:r>
    </w:p>
    <w:p w:rsidR="002B153D" w:rsidRDefault="002B153D" w:rsidP="002B153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Camshay Marketing Associates</w:t>
      </w:r>
    </w:p>
    <w:p w:rsidR="002B153D" w:rsidRDefault="002B153D" w:rsidP="002B153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81"/>
        <w:gridCol w:w="3605"/>
        <w:gridCol w:w="1187"/>
        <w:gridCol w:w="897"/>
      </w:tblGrid>
      <w:tr w:rsidR="004922FF" w:rsidRPr="004922FF" w:rsidTr="00F110DA">
        <w:tc>
          <w:tcPr>
            <w:tcW w:w="3581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05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F110DA" w:rsidRPr="004922FF" w:rsidTr="00F110DA">
        <w:tc>
          <w:tcPr>
            <w:tcW w:w="3581" w:type="dxa"/>
          </w:tcPr>
          <w:p w:rsidR="00F110DA" w:rsidRPr="004922FF" w:rsidRDefault="00F110DA" w:rsidP="00642E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the fields by examining the question or request to determine which fields from the tables in the database are involved.</w:t>
            </w:r>
          </w:p>
        </w:tc>
        <w:tc>
          <w:tcPr>
            <w:tcW w:w="3605" w:type="dxa"/>
          </w:tcPr>
          <w:p w:rsidR="00F110DA" w:rsidRPr="004922FF" w:rsidRDefault="00C71A07" w:rsidP="00642ED1">
            <w:pPr>
              <w:spacing w:after="120"/>
              <w:contextualSpacing/>
            </w:pPr>
            <w:r>
              <w:t>Each query identifies the fields to include in the result.</w:t>
            </w:r>
          </w:p>
        </w:tc>
        <w:tc>
          <w:tcPr>
            <w:tcW w:w="1187" w:type="dxa"/>
          </w:tcPr>
          <w:p w:rsidR="00F110DA" w:rsidRPr="004922FF" w:rsidRDefault="00C71A07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Pr="004922FF" w:rsidRDefault="00F110DA" w:rsidP="00642E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restrictions or the conditions that records must satisfy to be included in the results.</w:t>
            </w:r>
          </w:p>
        </w:tc>
        <w:tc>
          <w:tcPr>
            <w:tcW w:w="3605" w:type="dxa"/>
          </w:tcPr>
          <w:p w:rsidR="00F110DA" w:rsidRPr="006719F1" w:rsidRDefault="00C71A07" w:rsidP="002B153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Query a uses a comparison operator with a Date field. Query b uses a wildcard. Query c use</w:t>
            </w:r>
            <w:r w:rsidR="002B153D">
              <w:rPr>
                <w:lang w:bidi="yi-Hebr"/>
              </w:rPr>
              <w:t>s comparison operators and the OR</w:t>
            </w:r>
            <w:r>
              <w:rPr>
                <w:lang w:bidi="yi-Hebr"/>
              </w:rPr>
              <w:t xml:space="preserve"> operator</w:t>
            </w:r>
            <w:r w:rsidR="002B153D">
              <w:rPr>
                <w:lang w:bidi="yi-Hebr"/>
              </w:rPr>
              <w:t>. Query d uses a text criterion.</w:t>
            </w:r>
          </w:p>
        </w:tc>
        <w:tc>
          <w:tcPr>
            <w:tcW w:w="1187" w:type="dxa"/>
          </w:tcPr>
          <w:p w:rsidR="00F110DA" w:rsidRPr="004922FF" w:rsidRDefault="002B153D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40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whether special order is required.</w:t>
            </w:r>
          </w:p>
        </w:tc>
        <w:tc>
          <w:tcPr>
            <w:tcW w:w="3605" w:type="dxa"/>
          </w:tcPr>
          <w:p w:rsidR="00F110DA" w:rsidRPr="006719F1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a). Determine the sort key(s)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b). If using two sort keys, determine the major and minor key.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c). Determine sort order. If there are no words to imply a particular order, you would typically use Ascending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whether more than one table is required.</w:t>
            </w:r>
          </w:p>
        </w:tc>
        <w:tc>
          <w:tcPr>
            <w:tcW w:w="3605" w:type="dxa"/>
          </w:tcPr>
          <w:p w:rsidR="00F110DA" w:rsidRPr="006719F1" w:rsidRDefault="00C71A07" w:rsidP="002B153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Query </w:t>
            </w:r>
            <w:r w:rsidR="002B153D">
              <w:rPr>
                <w:lang w:bidi="yi-Hebr"/>
              </w:rPr>
              <w:t>g</w:t>
            </w:r>
            <w:r>
              <w:rPr>
                <w:lang w:bidi="yi-Hebr"/>
              </w:rPr>
              <w:t xml:space="preserve"> is a join query with sorting on two fields</w:t>
            </w: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10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a). Determine which tables to include.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b). Determine the matching fields.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c). Determine whether sorting is required.</w:t>
            </w: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d). Determine restrictions.</w:t>
            </w:r>
          </w:p>
        </w:tc>
        <w:tc>
          <w:tcPr>
            <w:tcW w:w="3605" w:type="dxa"/>
          </w:tcPr>
          <w:p w:rsidR="00F110DA" w:rsidRDefault="00C71A07" w:rsidP="002B153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Query </w:t>
            </w:r>
            <w:r w:rsidR="002B153D">
              <w:rPr>
                <w:lang w:bidi="yi-Hebr"/>
              </w:rPr>
              <w:t>h</w:t>
            </w:r>
            <w:r>
              <w:rPr>
                <w:lang w:bidi="yi-Hebr"/>
              </w:rPr>
              <w:t xml:space="preserve"> restricts the records in the join query.</w:t>
            </w:r>
          </w:p>
        </w:tc>
        <w:tc>
          <w:tcPr>
            <w:tcW w:w="1187" w:type="dxa"/>
          </w:tcPr>
          <w:p w:rsidR="00F110DA" w:rsidRPr="004922FF" w:rsidRDefault="00C71A07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F110DA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e.) Determine join properties</w:t>
            </w:r>
          </w:p>
        </w:tc>
        <w:tc>
          <w:tcPr>
            <w:tcW w:w="3605" w:type="dxa"/>
          </w:tcPr>
          <w:p w:rsidR="00F110DA" w:rsidRPr="006719F1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whether calculations are required.</w:t>
            </w:r>
          </w:p>
        </w:tc>
        <w:tc>
          <w:tcPr>
            <w:tcW w:w="3605" w:type="dxa"/>
          </w:tcPr>
          <w:p w:rsidR="00F110DA" w:rsidRPr="006719F1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Pr="00EC422C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a).</w:t>
            </w:r>
            <w:r w:rsidRPr="00EC422C">
              <w:rPr>
                <w:lang w:bidi="yi-Hebr"/>
              </w:rPr>
              <w:t>For individual record calculations, determine the calculation and a name for the calculated field.</w:t>
            </w:r>
          </w:p>
        </w:tc>
        <w:tc>
          <w:tcPr>
            <w:tcW w:w="3605" w:type="dxa"/>
          </w:tcPr>
          <w:p w:rsidR="00F110DA" w:rsidRPr="006719F1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288"/>
              <w:rPr>
                <w:lang w:bidi="yi-Hebr"/>
              </w:rPr>
            </w:pPr>
            <w:r>
              <w:rPr>
                <w:lang w:bidi="yi-Hebr"/>
              </w:rPr>
              <w:t>b). For group calculations, determine the calculation as well as the field to be used for grouping.</w:t>
            </w:r>
          </w:p>
        </w:tc>
        <w:tc>
          <w:tcPr>
            <w:tcW w:w="3605" w:type="dxa"/>
          </w:tcPr>
          <w:p w:rsidR="00F110DA" w:rsidRPr="006719F1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If data is to be summarized and the data is to be grouped by two different types of information, create a crosstab query.</w:t>
            </w:r>
          </w:p>
        </w:tc>
        <w:tc>
          <w:tcPr>
            <w:tcW w:w="3605" w:type="dxa"/>
          </w:tcPr>
          <w:p w:rsidR="00F110DA" w:rsidRPr="006719F1" w:rsidRDefault="00D94557" w:rsidP="002B153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Query </w:t>
            </w:r>
            <w:r w:rsidR="002B153D">
              <w:rPr>
                <w:lang w:bidi="yi-Hebr"/>
              </w:rPr>
              <w:t>f</w:t>
            </w:r>
            <w:r>
              <w:rPr>
                <w:lang w:bidi="yi-Hebr"/>
              </w:rPr>
              <w:t xml:space="preserve"> is a crosstab query.</w:t>
            </w:r>
          </w:p>
        </w:tc>
        <w:tc>
          <w:tcPr>
            <w:tcW w:w="1187" w:type="dxa"/>
          </w:tcPr>
          <w:p w:rsidR="00F110DA" w:rsidRPr="004922FF" w:rsidRDefault="00D94557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20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F110DA" w:rsidRPr="006719F1" w:rsidRDefault="00C71A07" w:rsidP="002B153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Query </w:t>
            </w:r>
            <w:r w:rsidR="002B153D">
              <w:rPr>
                <w:lang w:bidi="yi-Hebr"/>
              </w:rPr>
              <w:t>e</w:t>
            </w:r>
            <w:r>
              <w:rPr>
                <w:lang w:bidi="yi-Hebr"/>
              </w:rPr>
              <w:t xml:space="preserve"> is a parameter query</w:t>
            </w:r>
          </w:p>
        </w:tc>
        <w:tc>
          <w:tcPr>
            <w:tcW w:w="1187" w:type="dxa"/>
          </w:tcPr>
          <w:p w:rsidR="00F110DA" w:rsidRPr="004922FF" w:rsidRDefault="002B153D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2</w:t>
            </w:r>
            <w:r w:rsidR="00C71A07">
              <w:rPr>
                <w:lang w:bidi="yi-Hebr"/>
              </w:rPr>
              <w:t>0</w:t>
            </w: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F110DA" w:rsidRPr="004922FF" w:rsidTr="00F110DA">
        <w:tc>
          <w:tcPr>
            <w:tcW w:w="3581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7" w:type="dxa"/>
          </w:tcPr>
          <w:p w:rsidR="00F110DA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F110DA" w:rsidRPr="004922FF" w:rsidRDefault="00F110DA" w:rsidP="00642ED1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</w:t>
      </w:r>
      <w:r w:rsidR="005647FA">
        <w:rPr>
          <w:rFonts w:ascii="Times New Roman" w:hAnsi="Times New Roman"/>
        </w:rPr>
        <w:t>t 2: Critical Thinking Decisions</w:t>
      </w:r>
    </w:p>
    <w:p w:rsidR="0003275F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This assignment requires students to explain why they made these decisions in </w:t>
      </w:r>
      <w:r w:rsidR="00CB512C">
        <w:rPr>
          <w:rFonts w:ascii="Times New Roman" w:hAnsi="Times New Roman"/>
        </w:rPr>
        <w:t>querying</w:t>
      </w:r>
      <w:r>
        <w:rPr>
          <w:rFonts w:ascii="Times New Roman" w:hAnsi="Times New Roman"/>
        </w:rPr>
        <w:t xml:space="preserve"> their </w:t>
      </w:r>
      <w:r w:rsidR="005647FA">
        <w:rPr>
          <w:rFonts w:ascii="Times New Roman" w:hAnsi="Times New Roman"/>
        </w:rPr>
        <w:t>database</w:t>
      </w:r>
      <w:r w:rsidR="00684919">
        <w:rPr>
          <w:rFonts w:ascii="Times New Roman" w:hAnsi="Times New Roman"/>
        </w:rPr>
        <w:t>s</w:t>
      </w:r>
      <w:r w:rsidR="005647FA">
        <w:rPr>
          <w:rFonts w:ascii="Times New Roman" w:hAnsi="Times New Roman"/>
        </w:rPr>
        <w:t xml:space="preserve">. 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Wildcards in criterion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Comparison operators with date fields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Compound criteria using OR logic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Parameter queries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Restrict retrieval in a join query</w:t>
      </w:r>
    </w:p>
    <w:p w:rsidR="0003275F" w:rsidRPr="0003275F" w:rsidRDefault="0003275F" w:rsidP="0003275F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03275F">
        <w:rPr>
          <w:rFonts w:ascii="Times New Roman" w:hAnsi="Times New Roman"/>
        </w:rPr>
        <w:t>Crosstab queries</w:t>
      </w:r>
    </w:p>
    <w:p w:rsidR="005647FA" w:rsidRDefault="0003275F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Students also should explain </w:t>
      </w:r>
      <w:r w:rsidR="002B153D">
        <w:rPr>
          <w:rFonts w:ascii="Times New Roman" w:hAnsi="Times New Roman"/>
        </w:rPr>
        <w:t>the two ways to create the parameter query in step e and identify which one they used</w:t>
      </w:r>
    </w:p>
    <w:p w:rsidR="0003275F" w:rsidRDefault="0003275F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Possible Answer:</w:t>
      </w:r>
    </w:p>
    <w:p w:rsidR="002B153D" w:rsidRDefault="002B153D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Because the parameter query includes all fields in the query results, you can either double-click each field to add it to the design grid and then enter the parameter in the City field. You also could double-click the asterisk to add all fields, then add the City field, remove the check mark from the field so it doesn’t appear a second time in the result,</w:t>
      </w:r>
      <w:bookmarkStart w:id="0" w:name="_GoBack"/>
      <w:bookmarkEnd w:id="0"/>
      <w:r>
        <w:rPr>
          <w:rFonts w:ascii="Times New Roman" w:hAnsi="Times New Roman"/>
        </w:rPr>
        <w:t xml:space="preserve"> and enter the parameter.</w:t>
      </w:r>
    </w:p>
    <w:sectPr w:rsidR="002B1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32A" w:rsidRDefault="0079532A" w:rsidP="004922FF">
      <w:pPr>
        <w:spacing w:after="0" w:line="240" w:lineRule="auto"/>
      </w:pPr>
      <w:r>
        <w:separator/>
      </w:r>
    </w:p>
  </w:endnote>
  <w:endnote w:type="continuationSeparator" w:id="0">
    <w:p w:rsidR="0079532A" w:rsidRDefault="0079532A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32A" w:rsidRDefault="0079532A" w:rsidP="004922FF">
      <w:pPr>
        <w:spacing w:after="0" w:line="240" w:lineRule="auto"/>
      </w:pPr>
      <w:r>
        <w:separator/>
      </w:r>
    </w:p>
  </w:footnote>
  <w:footnote w:type="continuationSeparator" w:id="0">
    <w:p w:rsidR="0079532A" w:rsidRDefault="0079532A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51692"/>
    <w:multiLevelType w:val="hybridMultilevel"/>
    <w:tmpl w:val="25662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F7A2C"/>
    <w:multiLevelType w:val="hybridMultilevel"/>
    <w:tmpl w:val="6046F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05040"/>
    <w:multiLevelType w:val="hybridMultilevel"/>
    <w:tmpl w:val="F8567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3275F"/>
    <w:rsid w:val="00057C8B"/>
    <w:rsid w:val="0007678E"/>
    <w:rsid w:val="000B053E"/>
    <w:rsid w:val="001F7108"/>
    <w:rsid w:val="00211348"/>
    <w:rsid w:val="002B153D"/>
    <w:rsid w:val="002B19AE"/>
    <w:rsid w:val="002C5A2A"/>
    <w:rsid w:val="00321081"/>
    <w:rsid w:val="0034261A"/>
    <w:rsid w:val="00354AB0"/>
    <w:rsid w:val="00422D0E"/>
    <w:rsid w:val="004753D3"/>
    <w:rsid w:val="004922FF"/>
    <w:rsid w:val="00531471"/>
    <w:rsid w:val="005647FA"/>
    <w:rsid w:val="00576B48"/>
    <w:rsid w:val="006719F1"/>
    <w:rsid w:val="00684919"/>
    <w:rsid w:val="00722EC2"/>
    <w:rsid w:val="0079532A"/>
    <w:rsid w:val="008763D4"/>
    <w:rsid w:val="008E1DA1"/>
    <w:rsid w:val="008E7F2F"/>
    <w:rsid w:val="009707C6"/>
    <w:rsid w:val="00AA3735"/>
    <w:rsid w:val="00B1668B"/>
    <w:rsid w:val="00B446D5"/>
    <w:rsid w:val="00C36A39"/>
    <w:rsid w:val="00C71A07"/>
    <w:rsid w:val="00C820BD"/>
    <w:rsid w:val="00CB512C"/>
    <w:rsid w:val="00CF328A"/>
    <w:rsid w:val="00D26DCE"/>
    <w:rsid w:val="00D94557"/>
    <w:rsid w:val="00DF55DD"/>
    <w:rsid w:val="00EF1624"/>
    <w:rsid w:val="00F110DA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311AA"/>
  <w15:docId w15:val="{2E4273EB-5761-4ADE-A1CE-13798D10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Mary</cp:lastModifiedBy>
  <cp:revision>6</cp:revision>
  <cp:lastPrinted>2013-01-14T22:56:00Z</cp:lastPrinted>
  <dcterms:created xsi:type="dcterms:W3CDTF">2013-03-08T19:49:00Z</dcterms:created>
  <dcterms:modified xsi:type="dcterms:W3CDTF">2016-01-31T22:27:00Z</dcterms:modified>
</cp:coreProperties>
</file>