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3.0.0 -->
  <w:background w:color="ffffff">
    <v:background id="_x0000_s1025" filled="t" fillcolor="white"/>
  </w:background>
  <w:body>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If the insurance plan has a </w:t>
            </w:r>
            <w:r>
              <w:rPr>
                <w:rStyle w:val="DefaultParagraphFont"/>
                <w:rFonts w:ascii="Times New Roman" w:eastAsia="Times New Roman" w:hAnsi="Times New Roman" w:cs="Times New Roman"/>
                <w:b w:val="0"/>
                <w:bCs w:val="0"/>
                <w:i/>
                <w:iCs/>
                <w:smallCaps w:val="0"/>
                <w:color w:val="000000"/>
                <w:sz w:val="22"/>
                <w:szCs w:val="22"/>
                <w:bdr w:val="nil"/>
                <w:rtl w:val="0"/>
              </w:rPr>
              <w:t>hold harmless clause</w:t>
            </w:r>
            <w:r>
              <w:rPr>
                <w:rStyle w:val="DefaultParagraphFont"/>
                <w:rFonts w:ascii="Times New Roman" w:eastAsia="Times New Roman" w:hAnsi="Times New Roman" w:cs="Times New Roman"/>
                <w:b w:val="0"/>
                <w:bCs w:val="0"/>
                <w:i w:val="0"/>
                <w:iCs w:val="0"/>
                <w:smallCaps w:val="0"/>
                <w:color w:val="000000"/>
                <w:sz w:val="22"/>
                <w:szCs w:val="22"/>
                <w:bdr w:val="nil"/>
                <w:rtl w:val="0"/>
              </w:rPr>
              <w:t>, it means that the patient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67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charged for fees by the health care provider, per the EOB.</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automatically has lower out-of-pocket health care expenses.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2"/>
                      <w:szCs w:val="22"/>
                      <w:bdr w:val="nil"/>
                      <w:rtl w:val="0"/>
                    </w:rPr>
                    <w:t>not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responsible for paying what the insurance plan denies.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required to pay any amounts that the insurance plan denies.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2. </w:t>
            </w:r>
            <w:r>
              <w:rPr>
                <w:rStyle w:val="DefaultParagraphFont"/>
                <w:rFonts w:ascii="Times New Roman" w:eastAsia="Times New Roman" w:hAnsi="Times New Roman" w:cs="Times New Roman"/>
                <w:b w:val="0"/>
                <w:bCs w:val="0"/>
                <w:i w:val="0"/>
                <w:iCs w:val="0"/>
                <w:smallCaps w:val="0"/>
                <w:color w:val="000000"/>
                <w:sz w:val="22"/>
                <w:szCs w:val="22"/>
                <w:bdr w:val="nil"/>
                <w:rtl w:val="0"/>
              </w:rPr>
              <w:t>The process of reporting __________ as numeric and alphanumeric characters on the insurance claim is called coding.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43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dates of service for procedures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diagnoses and procedures/services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health insurance claims identifiers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national provider identifiers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3. </w:t>
            </w:r>
            <w:r>
              <w:rPr>
                <w:rStyle w:val="DefaultParagraphFont"/>
                <w:rFonts w:ascii="Times New Roman" w:eastAsia="Times New Roman" w:hAnsi="Times New Roman" w:cs="Times New Roman"/>
                <w:b w:val="0"/>
                <w:bCs w:val="0"/>
                <w:i w:val="0"/>
                <w:iCs w:val="0"/>
                <w:smallCaps w:val="0"/>
                <w:color w:val="000000"/>
                <w:sz w:val="22"/>
                <w:szCs w:val="22"/>
                <w:bdr w:val="nil"/>
                <w:rtl w:val="0"/>
              </w:rPr>
              <w:t>A claims examiner employed by a third-party payer reviews health-related claims to determine whether the charges are reasonable, in addition to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1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assigning ICD-10-CM and CPT codes.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billing patients for copayments and coinsurance.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determining medical necessity of services/procedures.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resubmitting denied claims to health care providers.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is another name for a health insurance specialist?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90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billing specialist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coding specialist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health information specialist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reimbursement specialist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5. </w:t>
            </w:r>
            <w:r>
              <w:rPr>
                <w:rStyle w:val="DefaultParagraphFont"/>
                <w:rFonts w:ascii="Times New Roman" w:eastAsia="Times New Roman" w:hAnsi="Times New Roman" w:cs="Times New Roman"/>
                <w:b w:val="0"/>
                <w:bCs w:val="0"/>
                <w:i w:val="0"/>
                <w:iCs w:val="0"/>
                <w:smallCaps w:val="0"/>
                <w:color w:val="000000"/>
                <w:sz w:val="22"/>
                <w:szCs w:val="22"/>
                <w:bdr w:val="nil"/>
                <w:rtl w:val="0"/>
              </w:rPr>
              <w:t>A claims examiner is employed by a</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9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facility to submit claims.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governmental agency to process claims.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physician’s office to submit claims.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third-party payer to review claims.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involves linking every procedure or service code reported on the claim to a condition code that justifies the necessity of performing that procedure or service?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7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claims adjudication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diagnosis coding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medical necessity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reimbursement processing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7. </w:t>
            </w:r>
            <w:r>
              <w:rPr>
                <w:rStyle w:val="DefaultParagraphFont"/>
                <w:rFonts w:ascii="Times New Roman" w:eastAsia="Times New Roman" w:hAnsi="Times New Roman" w:cs="Times New Roman"/>
                <w:b w:val="0"/>
                <w:bCs w:val="0"/>
                <w:i w:val="0"/>
                <w:iCs w:val="0"/>
                <w:smallCaps w:val="0"/>
                <w:color w:val="000000"/>
                <w:sz w:val="22"/>
                <w:szCs w:val="22"/>
                <w:bdr w:val="nil"/>
                <w:rtl w:val="0"/>
              </w:rPr>
              <w:t>The CPT manual is published by the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19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American Billing Association.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American Board of Physicians.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American Dental Association.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American Medical Association.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is submitted to the payer requesting reimbursement?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41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explanation of benefits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health insurance claim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remittance advice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preauthorization form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9. </w:t>
            </w:r>
            <w:r>
              <w:rPr>
                <w:rStyle w:val="DefaultParagraphFont"/>
                <w:rFonts w:ascii="Times New Roman" w:eastAsia="Times New Roman" w:hAnsi="Times New Roman" w:cs="Times New Roman"/>
                <w:b w:val="0"/>
                <w:bCs w:val="0"/>
                <w:i w:val="0"/>
                <w:iCs w:val="0"/>
                <w:smallCaps w:val="0"/>
                <w:color w:val="000000"/>
                <w:sz w:val="22"/>
                <w:szCs w:val="22"/>
                <w:bdr w:val="nil"/>
                <w:rtl w:val="0"/>
              </w:rPr>
              <w:t>The Centers for Medicare and Medicaid Services (CMS) agency is located in the __________.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9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ACF</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DHHS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FDA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OIG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10. </w:t>
            </w:r>
            <w:r>
              <w:rPr>
                <w:rStyle w:val="DefaultParagraphFont"/>
                <w:rFonts w:ascii="Times New Roman" w:eastAsia="Times New Roman" w:hAnsi="Times New Roman" w:cs="Times New Roman"/>
                <w:b w:val="0"/>
                <w:bCs w:val="0"/>
                <w:i w:val="0"/>
                <w:iCs w:val="0"/>
                <w:smallCaps w:val="0"/>
                <w:color w:val="000000"/>
                <w:sz w:val="22"/>
                <w:szCs w:val="22"/>
                <w:bdr w:val="nil"/>
                <w:rtl w:val="0"/>
              </w:rPr>
              <w:t>When a health insurance plan’s preauthorization requirements are not met by providers,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28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administrative costs are reduced.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patients’ coverage is canceled.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payment of the claim is denied.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providers pay a fine to the plan.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coding system is used to report procedures and services on claims?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48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CPT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ICD-10-CM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SNDO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SNOMED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would be found on a remittance advice?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1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detected errors and omissions from claims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documentation of medical necessity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payment information about a claim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provider qualifications and responsibilities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guarantees repayment for financial losses resulting from an employee’s act or failure to act?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35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bonding insurance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liability insurance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property insurance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workers’ compensation insurance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w:t>
            </w:r>
            <w:r>
              <w:rPr>
                <w:rStyle w:val="DefaultParagraphFont"/>
                <w:rFonts w:ascii="Times New Roman" w:eastAsia="Times New Roman" w:hAnsi="Times New Roman" w:cs="Times New Roman"/>
                <w:b w:val="0"/>
                <w:bCs w:val="0"/>
                <w:i w:val="0"/>
                <w:iCs w:val="0"/>
                <w:smallCaps w:val="0"/>
                <w:color w:val="000000"/>
                <w:sz w:val="22"/>
                <w:szCs w:val="22"/>
                <w:bdr w:val="nil"/>
                <w:rtl w:val="0"/>
              </w:rPr>
              <w:t>Medical malpractice insurance is which type of insurance?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4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bonding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liability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property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workers’ compensation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type of insurance covers employees and their dependents against injury and death that occurs during the course of employment?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4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bonding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liability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property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workers’ compensation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The word </w:t>
            </w:r>
            <w:r>
              <w:rPr>
                <w:rStyle w:val="DefaultParagraphFont"/>
                <w:rFonts w:ascii="Times New Roman" w:eastAsia="Times New Roman" w:hAnsi="Times New Roman" w:cs="Times New Roman"/>
                <w:b w:val="0"/>
                <w:bCs w:val="0"/>
                <w:i/>
                <w:iCs/>
                <w:smallCaps w:val="0"/>
                <w:color w:val="000000"/>
                <w:sz w:val="22"/>
                <w:szCs w:val="22"/>
                <w:bdr w:val="nil"/>
                <w:rtl w:val="0"/>
              </w:rPr>
              <w:t>embezzle</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means to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4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compensate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disburse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remunerate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steal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17. </w:t>
            </w:r>
            <w:r>
              <w:rPr>
                <w:rStyle w:val="DefaultParagraphFont"/>
                <w:rFonts w:ascii="Times New Roman" w:eastAsia="Times New Roman" w:hAnsi="Times New Roman" w:cs="Times New Roman"/>
                <w:b w:val="0"/>
                <w:bCs w:val="0"/>
                <w:i w:val="0"/>
                <w:iCs w:val="0"/>
                <w:smallCaps w:val="0"/>
                <w:color w:val="000000"/>
                <w:sz w:val="22"/>
                <w:szCs w:val="22"/>
                <w:bdr w:val="nil"/>
                <w:rtl w:val="0"/>
              </w:rPr>
              <w:t>Independent contractors should purchase __________ liability insurance, which provides protection from claims that contain errors and omissions resulting from professional services provided to clients as expected of a person in the contractor’s profession.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4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bonding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business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professional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property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term describes the principles of right or good conduct and includes rules that govern the conduct of members of a profession?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36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biased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ethics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immoral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misleading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The </w:t>
            </w:r>
            <w:r>
              <w:rPr>
                <w:rStyle w:val="DefaultParagraphFont"/>
                <w:rFonts w:ascii="Times New Roman" w:eastAsia="Times New Roman" w:hAnsi="Times New Roman" w:cs="Times New Roman"/>
                <w:b w:val="0"/>
                <w:bCs w:val="0"/>
                <w:i/>
                <w:iCs/>
                <w:smallCaps w:val="0"/>
                <w:color w:val="000000"/>
                <w:sz w:val="22"/>
                <w:szCs w:val="22"/>
                <w:bdr w:val="nil"/>
                <w:rtl w:val="0"/>
              </w:rPr>
              <w:t>Healthcare Common Procedure Coding System</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(HCPCS) consists of __________ codes.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0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CPT and national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DSM and CDT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ICD-10-CM and ICD-10-PCS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SNOMED and SNDO</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20. </w:t>
            </w:r>
            <w:r>
              <w:rPr>
                <w:rStyle w:val="DefaultParagraphFont"/>
                <w:rFonts w:ascii="Times New Roman" w:eastAsia="Times New Roman" w:hAnsi="Times New Roman" w:cs="Times New Roman"/>
                <w:b w:val="0"/>
                <w:bCs w:val="0"/>
                <w:i w:val="0"/>
                <w:iCs w:val="0"/>
                <w:smallCaps w:val="0"/>
                <w:color w:val="000000"/>
                <w:sz w:val="22"/>
                <w:szCs w:val="22"/>
                <w:bdr w:val="nil"/>
                <w:rtl w:val="0"/>
              </w:rPr>
              <w:t>Health information technicians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1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assist with direct patient care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document clinical information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manage medical records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process health insurance claims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21. </w:t>
            </w:r>
            <w:r>
              <w:rPr>
                <w:rStyle w:val="DefaultParagraphFont"/>
                <w:rFonts w:ascii="Times New Roman" w:eastAsia="Times New Roman" w:hAnsi="Times New Roman" w:cs="Times New Roman"/>
                <w:b w:val="0"/>
                <w:bCs w:val="0"/>
                <w:i w:val="0"/>
                <w:iCs w:val="0"/>
                <w:smallCaps w:val="0"/>
                <w:color w:val="000000"/>
                <w:sz w:val="22"/>
                <w:szCs w:val="22"/>
                <w:bdr w:val="nil"/>
                <w:rtl w:val="0"/>
              </w:rPr>
              <w:t>The organization that hires a(n) __________ is not liable for the acts or omissions of that individual.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70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health insurance specialist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health care provider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independent contractor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medical assistant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22. </w:t>
            </w:r>
            <w:r>
              <w:rPr>
                <w:rStyle w:val="DefaultParagraphFont"/>
                <w:rFonts w:ascii="Times New Roman" w:eastAsia="Times New Roman" w:hAnsi="Times New Roman" w:cs="Times New Roman"/>
                <w:b w:val="0"/>
                <w:bCs w:val="0"/>
                <w:i w:val="0"/>
                <w:iCs w:val="0"/>
                <w:smallCaps w:val="0"/>
                <w:color w:val="000000"/>
                <w:sz w:val="22"/>
                <w:szCs w:val="22"/>
                <w:bdr w:val="nil"/>
                <w:rtl w:val="0"/>
              </w:rPr>
              <w:t>During completion of a student internship, the facility will likely require students to sign a nondisclosure agreement to protect __________.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33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facility resources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health care finances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patient confidentiality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quality of patient care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23. 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coding system is used to report procedures and services on inpatient hospital claims?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78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CPT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HCPCS level II</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ICD-10-CM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ICD-10-PCS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24. 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does a provider usually employ to perform administrative and clinical tasks, which help keep the office or clinic running smoothly?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99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health information technician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medical assistant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nurse practitioner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reimbursement specialist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25. 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organization offers the CMBS exam?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1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AAPC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AHIMA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AMBA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MAB</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26. 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are published by CMS and used to report procedures, services, and supplies not classified in CPT?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66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dental codes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disease codes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injury codes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national codes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27. </w:t>
            </w:r>
            <w:r>
              <w:rPr>
                <w:rStyle w:val="DefaultParagraphFont"/>
                <w:rFonts w:ascii="Times New Roman" w:eastAsia="Times New Roman" w:hAnsi="Times New Roman" w:cs="Times New Roman"/>
                <w:b w:val="0"/>
                <w:bCs w:val="0"/>
                <w:i w:val="0"/>
                <w:iCs w:val="0"/>
                <w:smallCaps w:val="0"/>
                <w:color w:val="000000"/>
                <w:sz w:val="22"/>
                <w:szCs w:val="22"/>
                <w:bdr w:val="nil"/>
                <w:rtl w:val="0"/>
              </w:rPr>
              <w:t>Conduct or qualities that characterize a professional person are called __________.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7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certification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credentials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professionalism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specialization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28. 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is an insurance agreement that protects business contents against fire, theft, and other risks?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11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bonding insurance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business liability insurance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errors and omissions insurance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property insurance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29. 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is Latin for “let the master answer,” which means that the employer is liable for the actions and omissions of employees as performed and committed within the scope of their employment?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17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2"/>
                      <w:szCs w:val="22"/>
                      <w:bdr w:val="nil"/>
                      <w:rtl w:val="0"/>
                    </w:rPr>
                    <w:t>res gestae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2"/>
                      <w:szCs w:val="22"/>
                      <w:bdr w:val="nil"/>
                      <w:rtl w:val="0"/>
                    </w:rPr>
                    <w:t>res ipsa loquitur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2"/>
                      <w:szCs w:val="22"/>
                      <w:bdr w:val="nil"/>
                      <w:rtl w:val="0"/>
                    </w:rPr>
                    <w:t>respondeat superior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2"/>
                      <w:szCs w:val="22"/>
                      <w:bdr w:val="nil"/>
                      <w:rtl w:val="0"/>
                    </w:rPr>
                    <w:t>requiescat in pace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30. 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defines a profession, delineates qualifications and responsibilities, and clarifies supervision requirements?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49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job description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policy and procedure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scope of practice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workforce development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p>
      <w:pPr>
        <w:bidi w:val="0"/>
        <w:spacing w:after="75"/>
        <w:jc w:val="left"/>
      </w:pPr>
    </w:p>
    <w:sectPr>
      <w:headerReference w:type="default" r:id="rId4"/>
      <w:footerReference w:type="default" r:id="rId5"/>
      <w:pgMar w:top="720" w:right="720" w:bottom="720" w:left="720" w:header="720" w:footer="720"/>
      <w:cols w:space="720"/>
    </w:sectPr>
  </w:body>
</w:document>
</file>

<file path=word/fontTable.xml><?xml version="1.0" encoding="utf-8"?>
<w:fonts xmlns:r="http://schemas.openxmlformats.org/officeDocument/2006/relationships" xmlns:w="http://schemas.openxmlformats.org/wordprocessingml/2006/main"/>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
    <w:tblGrid>
      <w:gridCol w:w="5465"/>
      <w:gridCol w:w="5315"/>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4500" w:type="pct"/>
          <w:tcBorders>
            <w:top w:val="nil"/>
            <w:left w:val="nil"/>
            <w:bottom w:val="nil"/>
            <w:right w:val="nil"/>
          </w:tcBorders>
        </w:tcPr>
        <w:p>
          <w:pPr>
            <w:bidi w:val="0"/>
          </w:pPr>
          <w:r>
            <w:rPr>
              <w:rStyle w:val="DefaultParagraphFont"/>
              <w:b w:val="0"/>
              <w:bCs w:val="0"/>
              <w:i/>
              <w:iCs/>
              <w:sz w:val="16"/>
              <w:szCs w:val="16"/>
              <w:bdr w:val="nil"/>
              <w:rtl w:val="0"/>
            </w:rPr>
            <w:t>Copyright Cengage Learning. Powered by Cognero.</w:t>
          </w:r>
        </w:p>
      </w:tc>
      <w:tc>
        <w:tcPr>
          <w:tcW w:w="4500" w:type="pct"/>
          <w:tcBorders>
            <w:top w:val="nil"/>
            <w:left w:val="nil"/>
            <w:bottom w:val="nil"/>
            <w:right w:val="nil"/>
          </w:tcBorders>
        </w:tcPr>
        <w:p>
          <w:pPr>
            <w:bidi w:val="0"/>
            <w:jc w:val="right"/>
          </w:pPr>
          <w:r>
            <w:rPr>
              <w:rStyle w:val="DefaultParagraphFont"/>
              <w:b w:val="0"/>
              <w:bCs w:val="0"/>
              <w:sz w:val="16"/>
              <w:szCs w:val="16"/>
              <w:bdr w:val="nil"/>
              <w:rtl w:val="0"/>
            </w:rPr>
            <w:t>Page </w:t>
          </w:r>
          <w:r>
            <w:fldChar w:fldCharType="begin"/>
          </w:r>
          <w:r>
            <w:instrText>PAGE</w:instrText>
          </w:r>
          <w:r>
            <w:fldChar w:fldCharType="separate"/>
          </w:r>
          <w:r>
            <w:fldChar w:fldCharType="end"/>
          </w:r>
        </w:p>
      </w:tc>
    </w:tr>
  </w:tbl>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800" w:type="dxa"/>
      <w:tblBorders>
        <w:top w:val="nil"/>
        <w:left w:val="nil"/>
        <w:bottom w:val="nil"/>
        <w:right w:val="nil"/>
        <w:insideH w:val="nil"/>
        <w:insideV w:val="nil"/>
      </w:tblBorders>
      <w:tblCellMar>
        <w:top w:w="0" w:type="dxa"/>
        <w:left w:w="0" w:type="dxa"/>
        <w:bottom w:w="0" w:type="dxa"/>
        <w:right w:w="0" w:type="dxa"/>
      </w:tblCellMar>
    </w:tblPr>
    <w:tblGrid>
      <w:gridCol w:w="5226"/>
      <w:gridCol w:w="3484"/>
      <w:gridCol w:w="2090"/>
    </w:tblGrid>
    <w:tr>
      <w:tblPrEx>
        <w:tblW w:w="10800" w:type="dxa"/>
        <w:tblBorders>
          <w:top w:val="nil"/>
          <w:left w:val="nil"/>
          <w:bottom w:val="nil"/>
          <w:right w:val="nil"/>
          <w:insideH w:val="nil"/>
          <w:insideV w:val="nil"/>
        </w:tblBorders>
        <w:tblCellMar>
          <w:top w:w="0" w:type="dxa"/>
          <w:left w:w="0" w:type="dxa"/>
          <w:bottom w:w="0" w:type="dxa"/>
          <w:right w:w="0" w:type="dxa"/>
        </w:tblCellMar>
      </w:tblPrEx>
      <w:tc>
        <w:tcPr>
          <w:tcW w:w="225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89"/>
            <w:gridCol w:w="4637"/>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Name: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15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56"/>
            <w:gridCol w:w="2928"/>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Class:</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9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478"/>
            <w:gridCol w:w="1612"/>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Date: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r>
  </w:tbl>
  <w:p>
    <w:pPr>
      <w:bidi w:val="0"/>
    </w:pPr>
    <w:r>
      <w:br/>
    </w:r>
    <w:r>
      <w:rPr>
        <w:rStyle w:val="DefaultParagraphFont"/>
        <w:rFonts w:ascii="Times New Roman" w:eastAsia="Times New Roman" w:hAnsi="Times New Roman" w:cs="Times New Roman"/>
        <w:b w:val="0"/>
        <w:bCs w:val="0"/>
        <w:color w:val="000000"/>
        <w:sz w:val="26"/>
        <w:szCs w:val="26"/>
        <w:bdr w:val="nil"/>
        <w:rtl w:val="0"/>
      </w:rPr>
      <w:t>Chapter 01: Health Insurance Specialist Career</w:t>
    </w:r>
  </w:p>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isplayBackgroundShape/>
  <w:defaultTabStop w:val="720"/>
  <w:noPunctuationKerning/>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pPr>
      <w:spacing w:before="0" w:beforeAutospacing="0" w:after="0" w:afterAutospacing="0"/>
    </w:pPr>
    <w:rPr>
      <w:rFonts w:ascii="Arial" w:eastAsia="Arial" w:hAnsi="Arial" w:cs="Arial"/>
      <w:sz w:val="16"/>
      <w:szCs w:val="24"/>
      <w:bdr w:val="nil"/>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2"/>
      <w:sz w:val="48"/>
      <w:szCs w:val="48"/>
      <w:bdr w:val="nil"/>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bdr w:val="nil"/>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bdr w:val="nil"/>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bdr w:val="nil"/>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bdr w:val="nil"/>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bdr w:val="nil"/>
    </w:rPr>
  </w:style>
  <w:style w:type="character" w:default="1" w:styleId="DefaultParagraphFont">
    <w:name w:val="Default Paragraph Font"/>
    <w:semiHidden/>
  </w:style>
  <w:style w:type="paragraph" w:customStyle="1" w:styleId="questionContentItem">
    <w:name w:val="questionContentItem"/>
    <w:basedOn w:val="Normal"/>
    <w:pPr/>
    <w:rPr>
      <w:bdr w:val="nil"/>
    </w:rPr>
  </w:style>
  <w:style w:type="paragraph" w:customStyle="1" w:styleId="p">
    <w:name w:val="p"/>
    <w:basedOn w:val="Normal"/>
    <w:pPr>
      <w:spacing w:before="0" w:beforeAutospacing="0" w:after="0" w:afterAutospacing="0"/>
    </w:pPr>
    <w:rPr>
      <w:bdr w:val="nil"/>
    </w:rPr>
  </w:style>
  <w:style w:type="table" w:customStyle="1" w:styleId="questionMetaData">
    <w:name w:val="questionMetaData"/>
    <w:tbl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footer" Target="footer1.xml" /><Relationship Id="rId6"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Cengage Learning Testing, Powered by Cognero</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01: Health Insurance Specialist Career</dc:title>
  <dc:creator>Mark Turner</dc:creator>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structor ID">
    <vt:lpwstr>GE2TONZYHA4DGNZX</vt:lpwstr>
  </property>
</Properties>
</file>