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081" w:rsidRDefault="00AF7081" w:rsidP="00AF7081">
      <w:pPr>
        <w:pStyle w:val="BodyText2"/>
        <w:ind w:left="187" w:hanging="187"/>
        <w:rPr>
          <w:sz w:val="24"/>
          <w:szCs w:val="24"/>
        </w:rPr>
      </w:pPr>
      <w:r>
        <w:rPr>
          <w:b/>
          <w:sz w:val="24"/>
          <w:szCs w:val="24"/>
        </w:rPr>
        <w:t xml:space="preserve">Article 2: Adolescent Internet Usage in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z w:val="24"/>
              <w:szCs w:val="24"/>
            </w:rPr>
            <w:t>Taiwan</w:t>
          </w:r>
        </w:smartTag>
      </w:smartTag>
      <w:r>
        <w:rPr>
          <w:b/>
          <w:sz w:val="24"/>
          <w:szCs w:val="24"/>
        </w:rPr>
        <w:t>: Exploring Gender Differences</w:t>
      </w:r>
    </w:p>
    <w:p w:rsidR="00AF7081" w:rsidRDefault="00AF7081" w:rsidP="00AF7081">
      <w:pPr>
        <w:pStyle w:val="BodyText2"/>
        <w:ind w:left="187" w:hanging="187"/>
        <w:rPr>
          <w:sz w:val="12"/>
          <w:szCs w:val="24"/>
        </w:rPr>
      </w:pPr>
    </w:p>
    <w:p w:rsidR="00AF7081" w:rsidRDefault="00AF7081" w:rsidP="00AF7081">
      <w:pPr>
        <w:ind w:left="187" w:hanging="187"/>
      </w:pPr>
      <w:r>
        <w:t>1. What is the third hypothesis?</w:t>
      </w:r>
    </w:p>
    <w:p w:rsidR="00AF7081" w:rsidRDefault="00AF7081" w:rsidP="00AF7081">
      <w:pPr>
        <w:pStyle w:val="BodyText2"/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ind w:left="432"/>
        <w:rPr>
          <w:sz w:val="24"/>
          <w:szCs w:val="24"/>
        </w:rPr>
      </w:pPr>
      <w:r>
        <w:rPr>
          <w:sz w:val="24"/>
          <w:szCs w:val="24"/>
        </w:rPr>
        <w:t>Girls search for information on the Internet more often than do boys. (See lines 208–209.)</w:t>
      </w:r>
    </w:p>
    <w:p w:rsidR="00AF7081" w:rsidRDefault="00AF7081" w:rsidP="00AF7081">
      <w:pPr>
        <w:pStyle w:val="BodyText2"/>
        <w:ind w:left="187" w:hanging="187"/>
        <w:rPr>
          <w:sz w:val="8"/>
          <w:szCs w:val="24"/>
        </w:rPr>
      </w:pPr>
    </w:p>
    <w:p w:rsidR="00AF7081" w:rsidRDefault="00AF7081" w:rsidP="00AF7081">
      <w:pPr>
        <w:pStyle w:val="BodyText2"/>
        <w:ind w:left="187" w:hanging="187"/>
        <w:rPr>
          <w:sz w:val="20"/>
        </w:rPr>
      </w:pPr>
      <w:r>
        <w:rPr>
          <w:sz w:val="20"/>
        </w:rPr>
        <w:t>2. How many of the participants were 6th-graders?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tabs>
          <w:tab w:val="left" w:pos="360"/>
        </w:tabs>
        <w:ind w:left="619" w:hanging="187"/>
        <w:rPr>
          <w:sz w:val="24"/>
          <w:szCs w:val="24"/>
        </w:rPr>
      </w:pPr>
      <w:r>
        <w:rPr>
          <w:sz w:val="24"/>
          <w:szCs w:val="24"/>
        </w:rPr>
        <w:t>290. (See line 225.)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8"/>
          <w:szCs w:val="24"/>
        </w:rPr>
      </w:pPr>
    </w:p>
    <w:p w:rsidR="00AF7081" w:rsidRDefault="00AF7081" w:rsidP="00AF7081">
      <w:pPr>
        <w:pStyle w:val="BodyText2"/>
        <w:ind w:left="187" w:hanging="187"/>
        <w:rPr>
          <w:sz w:val="20"/>
        </w:rPr>
      </w:pPr>
      <w:r>
        <w:rPr>
          <w:sz w:val="20"/>
        </w:rPr>
        <w:t xml:space="preserve">3. What did the researchers conduct </w:t>
      </w:r>
      <w:proofErr w:type="gramStart"/>
      <w:r>
        <w:rPr>
          <w:sz w:val="20"/>
        </w:rPr>
        <w:t>in order to</w:t>
      </w:r>
      <w:proofErr w:type="gramEnd"/>
      <w:r>
        <w:rPr>
          <w:sz w:val="20"/>
        </w:rPr>
        <w:t xml:space="preserve"> develop the questions for their survey?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tabs>
          <w:tab w:val="left" w:pos="360"/>
        </w:tabs>
        <w:ind w:left="619" w:hanging="187"/>
        <w:rPr>
          <w:sz w:val="24"/>
          <w:szCs w:val="24"/>
        </w:rPr>
      </w:pPr>
      <w:r>
        <w:rPr>
          <w:sz w:val="24"/>
          <w:szCs w:val="24"/>
        </w:rPr>
        <w:t xml:space="preserve">A focus </w:t>
      </w:r>
      <w:proofErr w:type="gramStart"/>
      <w:r>
        <w:rPr>
          <w:sz w:val="24"/>
          <w:szCs w:val="24"/>
        </w:rPr>
        <w:t>group</w:t>
      </w:r>
      <w:proofErr w:type="gramEnd"/>
      <w:r>
        <w:rPr>
          <w:sz w:val="24"/>
          <w:szCs w:val="24"/>
        </w:rPr>
        <w:t>. (See lines 226–228.)</w:t>
      </w:r>
    </w:p>
    <w:p w:rsidR="00AF7081" w:rsidRDefault="00AF7081" w:rsidP="00AF7081">
      <w:pPr>
        <w:pStyle w:val="BodyText2"/>
        <w:ind w:left="187" w:hanging="187"/>
        <w:rPr>
          <w:sz w:val="8"/>
          <w:szCs w:val="24"/>
        </w:rPr>
      </w:pPr>
    </w:p>
    <w:p w:rsidR="00AF7081" w:rsidRDefault="00AF7081" w:rsidP="00AF7081">
      <w:pPr>
        <w:pStyle w:val="BodyText2"/>
        <w:ind w:left="187" w:hanging="187"/>
        <w:rPr>
          <w:sz w:val="20"/>
        </w:rPr>
      </w:pPr>
      <w:r>
        <w:rPr>
          <w:sz w:val="20"/>
        </w:rPr>
        <w:t>4. What percentage of the girls spent over 10 hours online?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tabs>
          <w:tab w:val="left" w:pos="360"/>
        </w:tabs>
        <w:ind w:left="619" w:hanging="187"/>
        <w:rPr>
          <w:sz w:val="24"/>
          <w:szCs w:val="24"/>
        </w:rPr>
      </w:pPr>
      <w:r>
        <w:rPr>
          <w:sz w:val="24"/>
          <w:szCs w:val="24"/>
        </w:rPr>
        <w:t>5.0%. (See Table 1.)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8"/>
          <w:szCs w:val="24"/>
        </w:rPr>
      </w:pPr>
    </w:p>
    <w:p w:rsidR="00AF7081" w:rsidRDefault="00AF7081" w:rsidP="00AF7081">
      <w:pPr>
        <w:pStyle w:val="BodyText2"/>
        <w:ind w:left="187" w:hanging="187"/>
        <w:rPr>
          <w:sz w:val="20"/>
        </w:rPr>
      </w:pPr>
      <w:r>
        <w:rPr>
          <w:sz w:val="20"/>
        </w:rPr>
        <w:t>5. Was there a significant difference between boys and girls in the perceived importance of the Internet? If yes, at what probability level?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tabs>
          <w:tab w:val="left" w:pos="360"/>
        </w:tabs>
        <w:ind w:left="619" w:hanging="187"/>
        <w:rPr>
          <w:sz w:val="24"/>
          <w:szCs w:val="24"/>
        </w:rPr>
      </w:pPr>
      <w:r>
        <w:rPr>
          <w:sz w:val="24"/>
          <w:szCs w:val="24"/>
        </w:rPr>
        <w:t>No. (See lines 309–311 and Table 2.)</w:t>
      </w:r>
    </w:p>
    <w:p w:rsidR="00AF7081" w:rsidRDefault="00AF7081" w:rsidP="00AF7081">
      <w:pPr>
        <w:pStyle w:val="BodyText2"/>
        <w:ind w:left="187" w:hanging="187"/>
        <w:rPr>
          <w:sz w:val="8"/>
          <w:szCs w:val="24"/>
        </w:rPr>
      </w:pPr>
    </w:p>
    <w:p w:rsidR="00AF7081" w:rsidRDefault="00AF7081" w:rsidP="00AF7081">
      <w:pPr>
        <w:pStyle w:val="BodyText2"/>
        <w:ind w:left="187" w:hanging="187"/>
        <w:rPr>
          <w:sz w:val="20"/>
        </w:rPr>
      </w:pPr>
      <w:r>
        <w:rPr>
          <w:sz w:val="20"/>
        </w:rPr>
        <w:t>6. Was there a significant difference between boys and girls in the frequency of playing games on the Internet? If yes, at what probability level?</w:t>
      </w:r>
    </w:p>
    <w:p w:rsidR="00AF7081" w:rsidRDefault="00AF7081" w:rsidP="00AF7081">
      <w:pPr>
        <w:pStyle w:val="BodyText2"/>
        <w:tabs>
          <w:tab w:val="left" w:pos="360"/>
        </w:tabs>
        <w:ind w:left="187" w:hanging="187"/>
        <w:rPr>
          <w:sz w:val="4"/>
          <w:szCs w:val="24"/>
        </w:rPr>
      </w:pPr>
    </w:p>
    <w:p w:rsidR="00AF7081" w:rsidRDefault="00AF7081" w:rsidP="00AF7081">
      <w:pPr>
        <w:pStyle w:val="BodyText2"/>
        <w:tabs>
          <w:tab w:val="left" w:pos="360"/>
        </w:tabs>
        <w:ind w:left="619" w:hanging="187"/>
        <w:rPr>
          <w:sz w:val="24"/>
          <w:szCs w:val="24"/>
        </w:rPr>
      </w:pPr>
      <w:r>
        <w:rPr>
          <w:sz w:val="24"/>
          <w:szCs w:val="24"/>
        </w:rPr>
        <w:t>Yes, at the .001 level. (See Table 4.)</w:t>
      </w:r>
    </w:p>
    <w:p w:rsidR="00824DEC" w:rsidRDefault="00824DEC">
      <w:bookmarkStart w:id="0" w:name="_GoBack"/>
      <w:bookmarkEnd w:id="0"/>
    </w:p>
    <w:sectPr w:rsidR="00824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08"/>
    <w:rsid w:val="00824DEC"/>
    <w:rsid w:val="00AB4108"/>
    <w:rsid w:val="00A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092E4-630D-4BD5-8192-C1EABA34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7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AF7081"/>
    <w:rPr>
      <w:sz w:val="40"/>
    </w:rPr>
  </w:style>
  <w:style w:type="character" w:customStyle="1" w:styleId="BodyText2Char">
    <w:name w:val="Body Text 2 Char"/>
    <w:basedOn w:val="DefaultParagraphFont"/>
    <w:link w:val="BodyText2"/>
    <w:semiHidden/>
    <w:rsid w:val="00AF7081"/>
    <w:rPr>
      <w:rFonts w:ascii="Times New Roman" w:eastAsia="Times New Roman" w:hAnsi="Times New Roman" w:cs="Times New Roman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0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2018-04-14T06:23:00Z</dcterms:created>
  <dcterms:modified xsi:type="dcterms:W3CDTF">2018-04-14T06:23:00Z</dcterms:modified>
</cp:coreProperties>
</file>