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E8E" w:rsidRDefault="00B05E8E" w:rsidP="00B05E8E">
      <w:pPr>
        <w:suppressLineNumbers/>
        <w:ind w:left="1080" w:hanging="1080"/>
        <w:rPr>
          <w:b/>
          <w:sz w:val="24"/>
        </w:rPr>
      </w:pPr>
      <w:r>
        <w:rPr>
          <w:b/>
          <w:sz w:val="24"/>
          <w:szCs w:val="24"/>
        </w:rPr>
        <w:t xml:space="preserve">Article 1: </w:t>
      </w:r>
      <w:r>
        <w:rPr>
          <w:b/>
          <w:sz w:val="24"/>
        </w:rPr>
        <w:t>A Survey of Emotional Difficulties of Nurses Who Care for Oncology Patients</w:t>
      </w:r>
    </w:p>
    <w:p w:rsidR="00B05E8E" w:rsidRDefault="00B05E8E" w:rsidP="00B05E8E">
      <w:pPr>
        <w:spacing w:line="288" w:lineRule="auto"/>
        <w:rPr>
          <w:sz w:val="8"/>
          <w:szCs w:val="24"/>
        </w:rPr>
      </w:pPr>
    </w:p>
    <w:p w:rsidR="00B05E8E" w:rsidRDefault="00B05E8E" w:rsidP="00B05E8E">
      <w:r>
        <w:t>1. How many questionnaires were excluded from the data analysis because of inappropriate or irrelevant answers?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Thirteen. (See lines 107–109.)</w:t>
      </w:r>
    </w:p>
    <w:p w:rsidR="00B05E8E" w:rsidRDefault="00B05E8E" w:rsidP="00B05E8E">
      <w:pPr>
        <w:tabs>
          <w:tab w:val="left" w:pos="360"/>
        </w:tabs>
        <w:rPr>
          <w:sz w:val="8"/>
          <w:szCs w:val="24"/>
        </w:rPr>
      </w:pPr>
    </w:p>
    <w:p w:rsidR="00B05E8E" w:rsidRDefault="00B05E8E" w:rsidP="00B05E8E">
      <w:r>
        <w:t>2. What was the participants’ mean age?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35.0 yr. (See line 145.)</w:t>
      </w:r>
    </w:p>
    <w:p w:rsidR="00B05E8E" w:rsidRDefault="00B05E8E" w:rsidP="00B05E8E">
      <w:pPr>
        <w:tabs>
          <w:tab w:val="left" w:pos="360"/>
        </w:tabs>
        <w:rPr>
          <w:sz w:val="8"/>
          <w:szCs w:val="24"/>
        </w:rPr>
      </w:pPr>
    </w:p>
    <w:p w:rsidR="00B05E8E" w:rsidRDefault="00B05E8E" w:rsidP="00B05E8E">
      <w:r>
        <w:t>3. What percentage of the nurses did not want to tell a patient that he or she was in the terminal phase?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95.5%. (See lines 162–164 and Table 3.)</w:t>
      </w:r>
    </w:p>
    <w:p w:rsidR="00B05E8E" w:rsidRDefault="00B05E8E" w:rsidP="00B05E8E">
      <w:pPr>
        <w:tabs>
          <w:tab w:val="left" w:pos="360"/>
        </w:tabs>
        <w:rPr>
          <w:sz w:val="8"/>
          <w:szCs w:val="24"/>
        </w:rPr>
      </w:pPr>
    </w:p>
    <w:p w:rsidR="00B05E8E" w:rsidRDefault="00B05E8E" w:rsidP="00B05E8E">
      <w:r>
        <w:t>4. How many nurses expressed that they experienced no difficulties related to caring for terminally ill patients?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Ten. (See lines 196–197 and Table 4.)</w:t>
      </w:r>
    </w:p>
    <w:p w:rsidR="00B05E8E" w:rsidRDefault="00B05E8E" w:rsidP="00B05E8E">
      <w:pPr>
        <w:tabs>
          <w:tab w:val="left" w:pos="360"/>
        </w:tabs>
        <w:rPr>
          <w:sz w:val="8"/>
          <w:szCs w:val="24"/>
        </w:rPr>
      </w:pPr>
    </w:p>
    <w:p w:rsidR="00B05E8E" w:rsidRDefault="00B05E8E" w:rsidP="00B05E8E">
      <w:pPr>
        <w:ind w:left="202" w:hanging="202"/>
      </w:pPr>
      <w:r>
        <w:t>5. Besides years of experience, what other factor appeared unrelated to feelings and concerns of nurses who care for terminally ill patients?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Level of education. (See lines 270–273.)</w:t>
      </w:r>
    </w:p>
    <w:p w:rsidR="00B05E8E" w:rsidRDefault="00B05E8E" w:rsidP="00B05E8E">
      <w:pPr>
        <w:tabs>
          <w:tab w:val="left" w:pos="360"/>
        </w:tabs>
        <w:rPr>
          <w:sz w:val="8"/>
          <w:szCs w:val="24"/>
        </w:rPr>
      </w:pPr>
    </w:p>
    <w:p w:rsidR="00B05E8E" w:rsidRDefault="00B05E8E" w:rsidP="00B05E8E">
      <w:r>
        <w:t>6. When caring for terminally ill patients, how many nurses expressed sadness at the young age of the patient?</w:t>
      </w:r>
    </w:p>
    <w:p w:rsidR="00B05E8E" w:rsidRDefault="00B05E8E" w:rsidP="00B05E8E">
      <w:pPr>
        <w:tabs>
          <w:tab w:val="left" w:pos="360"/>
        </w:tabs>
        <w:ind w:left="432"/>
        <w:rPr>
          <w:sz w:val="24"/>
          <w:szCs w:val="24"/>
        </w:rPr>
      </w:pPr>
      <w:r>
        <w:rPr>
          <w:sz w:val="24"/>
          <w:szCs w:val="24"/>
        </w:rPr>
        <w:t>Three. (See line 211 and Table 4.)</w:t>
      </w:r>
    </w:p>
    <w:p w:rsidR="00B05E8E" w:rsidRDefault="00B05E8E" w:rsidP="00B05E8E"/>
    <w:p w:rsidR="00B05E8E" w:rsidRDefault="00B05E8E" w:rsidP="00B05E8E">
      <w:pPr>
        <w:pStyle w:val="BodyTextIndent2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Article 2: Post-Anesthesia Care Unit Nurses’ Knowledge of Pulse Oximetry</w:t>
      </w:r>
    </w:p>
    <w:p w:rsidR="00B05E8E" w:rsidRDefault="00B05E8E" w:rsidP="00B05E8E">
      <w:pPr>
        <w:suppressLineNumbers/>
        <w:rPr>
          <w:sz w:val="8"/>
          <w:szCs w:val="24"/>
        </w:rPr>
      </w:pPr>
    </w:p>
    <w:p w:rsidR="00B05E8E" w:rsidRDefault="00B05E8E" w:rsidP="00B05E8E">
      <w:pPr>
        <w:ind w:left="202" w:hanging="202"/>
      </w:pPr>
      <w:r>
        <w:t>1. According to the literature review, were there previous studies in the literature that assessed PACU nurses’ knowledge of pulse oximetry?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sz w:val="24"/>
          <w:szCs w:val="24"/>
        </w:rPr>
        <w:t>No. (See lines 48–49.)</w:t>
      </w:r>
    </w:p>
    <w:p w:rsidR="00B05E8E" w:rsidRDefault="00B05E8E" w:rsidP="00B05E8E">
      <w:pPr>
        <w:tabs>
          <w:tab w:val="left" w:pos="360"/>
        </w:tabs>
        <w:rPr>
          <w:sz w:val="8"/>
        </w:rPr>
      </w:pPr>
    </w:p>
    <w:p w:rsidR="00B05E8E" w:rsidRDefault="00B05E8E" w:rsidP="00B05E8E">
      <w:r>
        <w:t>2. Of the 32 items in the data collection instrument, how many were designed to assess knowledge of pulse oximetry?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sz w:val="24"/>
          <w:szCs w:val="24"/>
        </w:rPr>
        <w:t>20. (See lines 69–73.)</w:t>
      </w:r>
    </w:p>
    <w:p w:rsidR="00B05E8E" w:rsidRDefault="00B05E8E" w:rsidP="00B05E8E">
      <w:pPr>
        <w:tabs>
          <w:tab w:val="left" w:pos="360"/>
        </w:tabs>
        <w:rPr>
          <w:sz w:val="8"/>
        </w:rPr>
      </w:pPr>
    </w:p>
    <w:p w:rsidR="00B05E8E" w:rsidRDefault="00B05E8E" w:rsidP="00B05E8E">
      <w:r>
        <w:t>3. How was content validity established?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sz w:val="24"/>
          <w:szCs w:val="24"/>
        </w:rPr>
        <w:t>By having a panel of three critical care and PACU nurse educators review the questionnaire. (See lines 72–75.)</w:t>
      </w:r>
    </w:p>
    <w:p w:rsidR="00B05E8E" w:rsidRDefault="00B05E8E" w:rsidP="00B05E8E">
      <w:pPr>
        <w:tabs>
          <w:tab w:val="left" w:pos="360"/>
        </w:tabs>
        <w:rPr>
          <w:sz w:val="8"/>
        </w:rPr>
      </w:pPr>
    </w:p>
    <w:p w:rsidR="00B05E8E" w:rsidRDefault="00B05E8E" w:rsidP="00B05E8E">
      <w:r>
        <w:t>4. What was the mean test score?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sz w:val="24"/>
          <w:szCs w:val="24"/>
        </w:rPr>
        <w:t>62 ± 9.09. (See lines 119–120.)</w:t>
      </w:r>
    </w:p>
    <w:p w:rsidR="00B05E8E" w:rsidRDefault="00B05E8E" w:rsidP="00B05E8E">
      <w:pPr>
        <w:tabs>
          <w:tab w:val="left" w:pos="360"/>
        </w:tabs>
        <w:rPr>
          <w:sz w:val="8"/>
        </w:rPr>
      </w:pPr>
    </w:p>
    <w:p w:rsidR="00B05E8E" w:rsidRDefault="00B05E8E" w:rsidP="00B05E8E">
      <w:r>
        <w:t>5. What does a pulse oximeter measure?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sz w:val="24"/>
          <w:szCs w:val="24"/>
        </w:rPr>
        <w:t>The absorption of light by hemoglobin. (See lines 122–124.)</w:t>
      </w:r>
    </w:p>
    <w:p w:rsidR="00B05E8E" w:rsidRDefault="00B05E8E" w:rsidP="00B05E8E">
      <w:pPr>
        <w:tabs>
          <w:tab w:val="left" w:pos="360"/>
        </w:tabs>
        <w:rPr>
          <w:sz w:val="8"/>
        </w:rPr>
      </w:pPr>
    </w:p>
    <w:p w:rsidR="00B05E8E" w:rsidRDefault="00B05E8E" w:rsidP="00B05E8E">
      <w:r>
        <w:t>6. What was the value of the Pearson correlation coefficient for the relationship between level of education and test scores?</w:t>
      </w:r>
    </w:p>
    <w:p w:rsidR="00B05E8E" w:rsidRDefault="00B05E8E" w:rsidP="00B05E8E">
      <w:pPr>
        <w:tabs>
          <w:tab w:val="left" w:pos="389"/>
        </w:tabs>
        <w:ind w:left="432"/>
        <w:rPr>
          <w:sz w:val="24"/>
          <w:szCs w:val="24"/>
        </w:rPr>
      </w:pPr>
      <w:r>
        <w:rPr>
          <w:i/>
          <w:iCs/>
          <w:sz w:val="24"/>
          <w:szCs w:val="24"/>
        </w:rPr>
        <w:t>r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= .25. (See lines 187–188.) </w:t>
      </w:r>
    </w:p>
    <w:p w:rsidR="00B05E8E" w:rsidRDefault="00B05E8E" w:rsidP="00B05E8E">
      <w:pPr>
        <w:pStyle w:val="Header"/>
        <w:ind w:left="1022" w:hanging="1022"/>
      </w:pPr>
    </w:p>
    <w:p w:rsidR="00B05E8E" w:rsidRDefault="00B05E8E" w:rsidP="00B05E8E">
      <w:pPr>
        <w:pStyle w:val="BodyTextIndent2"/>
        <w:spacing w:after="0" w:line="240" w:lineRule="auto"/>
        <w:ind w:left="1037" w:hanging="1037"/>
        <w:rPr>
          <w:b/>
          <w:sz w:val="24"/>
          <w:szCs w:val="24"/>
        </w:rPr>
      </w:pPr>
      <w:r>
        <w:rPr>
          <w:b/>
          <w:sz w:val="24"/>
          <w:szCs w:val="24"/>
        </w:rPr>
        <w:t>Article 3: Male and Female Nursing Applicants’ Attitudes and Expectations Towards Their Future Careers in Nursing</w:t>
      </w:r>
    </w:p>
    <w:p w:rsidR="00B05E8E" w:rsidRDefault="00B05E8E" w:rsidP="00B05E8E">
      <w:pPr>
        <w:pStyle w:val="Header"/>
        <w:ind w:left="1022" w:hanging="1022"/>
        <w:rPr>
          <w:sz w:val="8"/>
        </w:rPr>
      </w:pPr>
    </w:p>
    <w:p w:rsidR="00B05E8E" w:rsidRDefault="00B05E8E" w:rsidP="00B05E8E">
      <w:r>
        <w:t>1. What is the third hypothesis?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t>There will be no difference between males and females on their ideal position in 10 years’ time. (See lines 210–211.)</w:t>
      </w:r>
    </w:p>
    <w:p w:rsidR="00B05E8E" w:rsidRDefault="00B05E8E" w:rsidP="00B05E8E">
      <w:pPr>
        <w:rPr>
          <w:sz w:val="8"/>
        </w:rPr>
      </w:pPr>
    </w:p>
    <w:p w:rsidR="00B05E8E" w:rsidRDefault="00B05E8E" w:rsidP="00B05E8E">
      <w:r>
        <w:t>2. The researchers used Likert scale with how many points?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t>Five. (See lines 220–221.)</w:t>
      </w:r>
    </w:p>
    <w:p w:rsidR="00B05E8E" w:rsidRDefault="00B05E8E" w:rsidP="00B05E8E">
      <w:pPr>
        <w:rPr>
          <w:sz w:val="8"/>
        </w:rPr>
      </w:pPr>
    </w:p>
    <w:p w:rsidR="00B05E8E" w:rsidRDefault="00B05E8E" w:rsidP="00B05E8E">
      <w:r>
        <w:t>3. Of the 600 questionnaires that were distributed, how many were returned?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t>273. (See lines 231–232.)</w:t>
      </w:r>
    </w:p>
    <w:p w:rsidR="00B05E8E" w:rsidRDefault="00B05E8E" w:rsidP="00B05E8E">
      <w:pPr>
        <w:rPr>
          <w:sz w:val="8"/>
        </w:rPr>
      </w:pPr>
    </w:p>
    <w:p w:rsidR="00B05E8E" w:rsidRDefault="00B05E8E" w:rsidP="00B05E8E">
      <w:r>
        <w:t>4. What was the overall response rate?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t>45.5%. (See lines 234–235.)</w:t>
      </w:r>
    </w:p>
    <w:p w:rsidR="00B05E8E" w:rsidRDefault="00B05E8E" w:rsidP="00B05E8E">
      <w:pPr>
        <w:rPr>
          <w:sz w:val="8"/>
        </w:rPr>
      </w:pPr>
    </w:p>
    <w:p w:rsidR="00B05E8E" w:rsidRDefault="00B05E8E" w:rsidP="00B05E8E">
      <w:r>
        <w:t>5. Was there a significant difference between males and females on socioeconomic background?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lastRenderedPageBreak/>
        <w:t>No. (See lines 252–254.)</w:t>
      </w:r>
    </w:p>
    <w:p w:rsidR="00B05E8E" w:rsidRDefault="00B05E8E" w:rsidP="00B05E8E">
      <w:pPr>
        <w:rPr>
          <w:sz w:val="8"/>
        </w:rPr>
      </w:pPr>
    </w:p>
    <w:p w:rsidR="00B05E8E" w:rsidRDefault="00B05E8E" w:rsidP="00B05E8E">
      <w:r>
        <w:t>6. Was the difference between males and females on the factor of “interesting work” statistically significant? If yes, at what probability level?</w:t>
      </w:r>
    </w:p>
    <w:p w:rsidR="00B05E8E" w:rsidRDefault="00B05E8E" w:rsidP="00B05E8E">
      <w:pPr>
        <w:ind w:left="432"/>
        <w:rPr>
          <w:sz w:val="24"/>
          <w:szCs w:val="24"/>
        </w:rPr>
      </w:pPr>
      <w:r>
        <w:rPr>
          <w:sz w:val="24"/>
          <w:szCs w:val="24"/>
        </w:rPr>
        <w:t>Yes. The probability is 0.010, which is less than .05. (See lines 277–282 and Table 1.)</w:t>
      </w:r>
    </w:p>
    <w:p w:rsidR="00BC0F7A" w:rsidRDefault="00BC0F7A">
      <w:bookmarkStart w:id="0" w:name="_GoBack"/>
      <w:bookmarkEnd w:id="0"/>
    </w:p>
    <w:sectPr w:rsidR="00BC0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72"/>
    <w:rsid w:val="00B05E8E"/>
    <w:rsid w:val="00B71F72"/>
    <w:rsid w:val="00BC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440F3C-0F2F-4C02-AE8C-AA284B60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B05E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05E8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B05E8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05E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2018-04-03T11:40:00Z</dcterms:created>
  <dcterms:modified xsi:type="dcterms:W3CDTF">2018-04-03T11:40:00Z</dcterms:modified>
</cp:coreProperties>
</file>